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4AABAFED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3788E985" w14:textId="77777777" w:rsidR="00123A1B" w:rsidRDefault="00ED21A9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3D89BCDC" w14:textId="77777777" w:rsidR="007A1FC0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</w:t>
      </w:r>
    </w:p>
    <w:p w14:paraId="15DE491C" w14:textId="38700C04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/ pieczęć  firmy /  </w:t>
      </w: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tel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*Pesel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6125B51A" w:rsidR="0063366A" w:rsidRDefault="0063366A" w:rsidP="0063590E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1D4CD1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23329B72" w14:textId="77777777" w:rsidR="00B94CFB" w:rsidRPr="0063366A" w:rsidRDefault="00B94CFB" w:rsidP="0063590E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</w:p>
    <w:p w14:paraId="056C9939" w14:textId="77777777" w:rsidR="007A1FC0" w:rsidRPr="002750A6" w:rsidRDefault="0000492C" w:rsidP="007A1FC0">
      <w:pPr>
        <w:pStyle w:val="Akapitzlist"/>
        <w:spacing w:line="276" w:lineRule="auto"/>
        <w:ind w:left="142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ZA.271.</w:t>
      </w:r>
      <w:r w:rsidR="003805B3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="007A1FC0">
        <w:rPr>
          <w:rFonts w:asciiTheme="minorHAnsi" w:hAnsiTheme="minorHAnsi" w:cstheme="minorHAnsi"/>
          <w:b/>
          <w:bCs/>
          <w:sz w:val="22"/>
          <w:szCs w:val="22"/>
          <w:u w:val="single"/>
        </w:rPr>
        <w:t>49</w:t>
      </w: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.2026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A1FC0" w:rsidRPr="006A7D97">
        <w:rPr>
          <w:rFonts w:ascii="Calibri" w:hAnsi="Calibri" w:cs="Calibri"/>
          <w:b/>
          <w:sz w:val="22"/>
          <w:szCs w:val="22"/>
        </w:rPr>
        <w:t>Sporządzeni</w:t>
      </w:r>
      <w:r w:rsidR="007A1FC0">
        <w:rPr>
          <w:rFonts w:ascii="Calibri" w:hAnsi="Calibri" w:cs="Calibri"/>
          <w:b/>
          <w:sz w:val="22"/>
          <w:szCs w:val="22"/>
        </w:rPr>
        <w:t xml:space="preserve">e </w:t>
      </w:r>
      <w:r w:rsidR="007A1FC0" w:rsidRPr="002750A6">
        <w:rPr>
          <w:rFonts w:ascii="Calibri" w:hAnsi="Calibri" w:cs="Calibri"/>
          <w:b/>
          <w:sz w:val="22"/>
          <w:szCs w:val="22"/>
        </w:rPr>
        <w:t xml:space="preserve">operatów szacunkowych określających wartość nieruchomości (w tym gruntu, części składowych oraz istniejących ograniczonych praw rzeczowych) położonych </w:t>
      </w:r>
      <w:r w:rsidR="007A1FC0">
        <w:rPr>
          <w:rFonts w:ascii="Calibri" w:hAnsi="Calibri" w:cs="Calibri"/>
          <w:b/>
          <w:sz w:val="22"/>
          <w:szCs w:val="22"/>
        </w:rPr>
        <w:br/>
      </w:r>
      <w:r w:rsidR="007A1FC0" w:rsidRPr="002750A6">
        <w:rPr>
          <w:rFonts w:ascii="Calibri" w:hAnsi="Calibri" w:cs="Calibri"/>
          <w:b/>
          <w:sz w:val="22"/>
          <w:szCs w:val="22"/>
        </w:rPr>
        <w:t xml:space="preserve">w miejscowości Ciche, gmina Czarny Dunajec, które z mocy prawa stały się własnością Miasta </w:t>
      </w:r>
      <w:r w:rsidR="007A1FC0">
        <w:rPr>
          <w:rFonts w:ascii="Calibri" w:hAnsi="Calibri" w:cs="Calibri"/>
          <w:b/>
          <w:sz w:val="22"/>
          <w:szCs w:val="22"/>
        </w:rPr>
        <w:br/>
      </w:r>
      <w:r w:rsidR="007A1FC0" w:rsidRPr="002750A6">
        <w:rPr>
          <w:rFonts w:ascii="Calibri" w:hAnsi="Calibri" w:cs="Calibri"/>
          <w:b/>
          <w:sz w:val="22"/>
          <w:szCs w:val="22"/>
        </w:rPr>
        <w:t xml:space="preserve">i Gminy Czarny Dunajec na podstawie decyzji Starosty Nowotarskiego nr Z-4/2025 z dnia </w:t>
      </w:r>
      <w:r w:rsidR="007A1FC0">
        <w:rPr>
          <w:rFonts w:ascii="Calibri" w:hAnsi="Calibri" w:cs="Calibri"/>
          <w:b/>
          <w:sz w:val="22"/>
          <w:szCs w:val="22"/>
        </w:rPr>
        <w:br/>
      </w:r>
      <w:r w:rsidR="007A1FC0" w:rsidRPr="002750A6">
        <w:rPr>
          <w:rFonts w:ascii="Calibri" w:hAnsi="Calibri" w:cs="Calibri"/>
          <w:b/>
          <w:sz w:val="22"/>
          <w:szCs w:val="22"/>
        </w:rPr>
        <w:t xml:space="preserve">10 marca 2025 r., znak: BA.6740.4.15.2024.AZ o zezwoleniu na realizację inwestycji drogowej pn.: „Rozbudowa drogi gminnej nr K360000 „Do Cmentarza” w miejscowości Ciche od km 0+000.00 do km 0+523.74”, ostatecznej z dniem 11.04.2025 r. – w celu ustalenia odszkodowań. </w:t>
      </w:r>
    </w:p>
    <w:p w14:paraId="323ED3C9" w14:textId="0D770CB1" w:rsidR="007A1FC0" w:rsidRPr="002750A6" w:rsidRDefault="007A1FC0" w:rsidP="007A1FC0">
      <w:pPr>
        <w:pStyle w:val="Akapitzlist"/>
        <w:spacing w:line="276" w:lineRule="auto"/>
        <w:ind w:left="142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2750A6">
        <w:rPr>
          <w:rFonts w:ascii="Calibri" w:hAnsi="Calibri" w:cs="Calibri"/>
          <w:b/>
          <w:sz w:val="22"/>
          <w:szCs w:val="22"/>
        </w:rPr>
        <w:t xml:space="preserve">Lista nieruchomości w liczbie 39 położonych w miejscowości Ciche, będących przedmiotem wyceny stanowi załącznik nr </w:t>
      </w:r>
      <w:r>
        <w:rPr>
          <w:rFonts w:ascii="Calibri" w:hAnsi="Calibri" w:cs="Calibri"/>
          <w:b/>
          <w:sz w:val="22"/>
          <w:szCs w:val="22"/>
        </w:rPr>
        <w:t>3</w:t>
      </w:r>
      <w:r w:rsidRPr="002750A6">
        <w:rPr>
          <w:rFonts w:ascii="Calibri" w:hAnsi="Calibri" w:cs="Calibri"/>
          <w:b/>
          <w:sz w:val="22"/>
          <w:szCs w:val="22"/>
        </w:rPr>
        <w:t>.</w:t>
      </w:r>
    </w:p>
    <w:p w14:paraId="2F4F82B6" w14:textId="77777777" w:rsidR="007A1FC0" w:rsidRDefault="007A1FC0" w:rsidP="007A1FC0">
      <w:pPr>
        <w:pStyle w:val="Akapitzlist"/>
        <w:spacing w:line="276" w:lineRule="auto"/>
        <w:ind w:left="142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2750A6">
        <w:rPr>
          <w:rFonts w:ascii="Calibri" w:hAnsi="Calibri" w:cs="Calibri"/>
          <w:b/>
          <w:sz w:val="22"/>
          <w:szCs w:val="22"/>
        </w:rPr>
        <w:t xml:space="preserve">Dla tych nieruchomości nie zostały sporządzone protokoły z opisem stanu ich przejęcia na dzień wydania decyzji Starosty Nowotarskiego o zezwoleniu na realizację inwestycji drogowej </w:t>
      </w:r>
      <w:r>
        <w:rPr>
          <w:rFonts w:ascii="Calibri" w:hAnsi="Calibri" w:cs="Calibri"/>
          <w:b/>
          <w:sz w:val="22"/>
          <w:szCs w:val="22"/>
        </w:rPr>
        <w:br/>
      </w:r>
      <w:r w:rsidRPr="002750A6">
        <w:rPr>
          <w:rFonts w:ascii="Calibri" w:hAnsi="Calibri" w:cs="Calibri"/>
          <w:b/>
          <w:sz w:val="22"/>
          <w:szCs w:val="22"/>
        </w:rPr>
        <w:t>tj. 10 marca 2025 r.</w:t>
      </w:r>
    </w:p>
    <w:p w14:paraId="18C56677" w14:textId="77777777" w:rsidR="007F528A" w:rsidRDefault="007F528A" w:rsidP="007A1FC0">
      <w:pPr>
        <w:pStyle w:val="Akapitzlist"/>
        <w:spacing w:line="276" w:lineRule="auto"/>
        <w:ind w:left="142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</w:p>
    <w:p w14:paraId="75029D7D" w14:textId="77777777" w:rsidR="007A1FC0" w:rsidRPr="00915DA4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Operaty szacunkowe muszą być wykonane zgodnie z: </w:t>
      </w:r>
    </w:p>
    <w:p w14:paraId="0060A872" w14:textId="77777777" w:rsidR="007A1FC0" w:rsidRPr="00915DA4" w:rsidRDefault="007A1FC0" w:rsidP="007A1FC0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ustawą z dnia 21 sierpnia 1997 r. o gospodarce nieruchomościam</w:t>
      </w:r>
      <w:r>
        <w:rPr>
          <w:rFonts w:ascii="Calibri" w:hAnsi="Calibri" w:cs="Calibri"/>
          <w:sz w:val="22"/>
          <w:szCs w:val="22"/>
        </w:rPr>
        <w:t>i (t.j. Dz.U. z 2026</w:t>
      </w:r>
      <w:r w:rsidRPr="00915DA4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399)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172ABD69" w14:textId="77777777" w:rsidR="007A1FC0" w:rsidRPr="00915DA4" w:rsidRDefault="007A1FC0" w:rsidP="007A1FC0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rozporządzeniem Ministr</w:t>
      </w:r>
      <w:r>
        <w:rPr>
          <w:rFonts w:ascii="Calibri" w:hAnsi="Calibri" w:cs="Calibri"/>
          <w:sz w:val="22"/>
          <w:szCs w:val="22"/>
        </w:rPr>
        <w:t xml:space="preserve">a Rozwoju i Technologii </w:t>
      </w:r>
      <w:r w:rsidRPr="00915DA4">
        <w:rPr>
          <w:rFonts w:ascii="Calibri" w:hAnsi="Calibri" w:cs="Calibri"/>
          <w:sz w:val="22"/>
          <w:szCs w:val="22"/>
        </w:rPr>
        <w:t xml:space="preserve">z dnia </w:t>
      </w:r>
      <w:r>
        <w:rPr>
          <w:rFonts w:ascii="Calibri" w:hAnsi="Calibri" w:cs="Calibri"/>
          <w:sz w:val="22"/>
          <w:szCs w:val="22"/>
        </w:rPr>
        <w:t>5</w:t>
      </w:r>
      <w:r w:rsidRPr="00915DA4">
        <w:rPr>
          <w:rFonts w:ascii="Calibri" w:hAnsi="Calibri" w:cs="Calibri"/>
          <w:sz w:val="22"/>
          <w:szCs w:val="22"/>
        </w:rPr>
        <w:t xml:space="preserve"> września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r. w sprawie wyceny nieruchomości</w:t>
      </w:r>
      <w:r>
        <w:rPr>
          <w:rFonts w:ascii="Calibri" w:hAnsi="Calibri" w:cs="Calibri"/>
          <w:sz w:val="22"/>
          <w:szCs w:val="22"/>
        </w:rPr>
        <w:t xml:space="preserve"> </w:t>
      </w:r>
      <w:r w:rsidRPr="00915DA4">
        <w:rPr>
          <w:rFonts w:ascii="Calibri" w:hAnsi="Calibri" w:cs="Calibri"/>
          <w:sz w:val="22"/>
          <w:szCs w:val="22"/>
        </w:rPr>
        <w:t>(Dz.U. z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r., </w:t>
      </w:r>
      <w:r w:rsidRPr="00915DA4">
        <w:rPr>
          <w:rFonts w:ascii="Calibri" w:hAnsi="Calibri" w:cs="Calibri"/>
          <w:sz w:val="22"/>
          <w:szCs w:val="22"/>
        </w:rPr>
        <w:t xml:space="preserve">poz. </w:t>
      </w:r>
      <w:r>
        <w:rPr>
          <w:rFonts w:ascii="Calibri" w:hAnsi="Calibri" w:cs="Calibri"/>
          <w:sz w:val="22"/>
          <w:szCs w:val="22"/>
        </w:rPr>
        <w:t>1832</w:t>
      </w:r>
      <w:r w:rsidRPr="00915DA4">
        <w:rPr>
          <w:rFonts w:ascii="Calibri" w:hAnsi="Calibri" w:cs="Calibri"/>
          <w:sz w:val="22"/>
          <w:szCs w:val="22"/>
        </w:rPr>
        <w:t xml:space="preserve">); </w:t>
      </w:r>
    </w:p>
    <w:p w14:paraId="5DB12E20" w14:textId="77777777" w:rsidR="007A1FC0" w:rsidRPr="00915DA4" w:rsidRDefault="007A1FC0" w:rsidP="007A1FC0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Standardami Zawodowymi Polskiej Federacji Stowarzyszeń Rzeczoznawców Majątkowych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714366AF" w14:textId="77777777" w:rsidR="007A1FC0" w:rsidRPr="00915DA4" w:rsidRDefault="007A1FC0" w:rsidP="007A1FC0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innymi przepisami obowiązującymi w tym zakresie;</w:t>
      </w:r>
    </w:p>
    <w:p w14:paraId="41C72A8E" w14:textId="77777777" w:rsidR="007A1FC0" w:rsidRPr="00915DA4" w:rsidRDefault="007A1FC0" w:rsidP="007A1FC0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Kodeksem Etyki Zawodowej Rzeczoznawców Majątkowych,</w:t>
      </w:r>
    </w:p>
    <w:p w14:paraId="10B8617B" w14:textId="77777777" w:rsidR="007A1FC0" w:rsidRPr="00915DA4" w:rsidRDefault="007A1FC0" w:rsidP="007A1FC0">
      <w:pPr>
        <w:pStyle w:val="Akapitzlist"/>
        <w:spacing w:line="276" w:lineRule="auto"/>
        <w:ind w:left="426" w:firstLine="0"/>
        <w:contextualSpacing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tj. rzetelnie, uczciwie, bezstronnie, z zachowaniem tajemnicy zawodowej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br/>
      </w:r>
      <w:r w:rsidRPr="00915DA4">
        <w:rPr>
          <w:rFonts w:ascii="Calibri" w:hAnsi="Calibri" w:cs="Calibri"/>
          <w:sz w:val="22"/>
          <w:szCs w:val="22"/>
        </w:rPr>
        <w:t xml:space="preserve">oraz z uwzględnieniem aktualnego stanowiska organów II instancji i orzecznictwa sądów.  </w:t>
      </w:r>
    </w:p>
    <w:p w14:paraId="0C8061A3" w14:textId="77777777" w:rsidR="007A1FC0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W postępowaniach, na potrzeby których zostaną wykonane ww. opracowania rzeczoznawca majątkowy na wezwanie Zamawiającego zobowiązany jest do uczestnictwa w rozprawach administracyjnych z udziałem stron prowadzonego postępowania (w wypadku konieczności </w:t>
      </w:r>
      <w:r w:rsidRPr="00915DA4">
        <w:rPr>
          <w:rFonts w:ascii="Calibri" w:hAnsi="Calibri" w:cs="Calibri"/>
          <w:sz w:val="22"/>
          <w:szCs w:val="22"/>
        </w:rPr>
        <w:br/>
        <w:t>ich przeprowadzenia)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915DA4">
        <w:rPr>
          <w:rFonts w:ascii="Calibri" w:hAnsi="Calibri" w:cs="Calibri"/>
          <w:sz w:val="22"/>
          <w:szCs w:val="22"/>
        </w:rPr>
        <w:t>do składania pisemnych wyjaśnień</w:t>
      </w:r>
      <w:r>
        <w:rPr>
          <w:rFonts w:ascii="Calibri" w:hAnsi="Calibri" w:cs="Calibri"/>
          <w:sz w:val="22"/>
          <w:szCs w:val="22"/>
        </w:rPr>
        <w:t>.</w:t>
      </w:r>
    </w:p>
    <w:p w14:paraId="342E554D" w14:textId="77777777" w:rsidR="007A1FC0" w:rsidRPr="00E742D1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lastRenderedPageBreak/>
        <w:t xml:space="preserve">Jeżeli strony wniosą uwagi i zastrzeżenia do sporządzonego operatu szacunkowego, rzeczoznawca majątkowy odniesie się do nich na piśmie w terminie nie dłuższym niż 14 dni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od dnia powiadomienia go przez Zamawiającego o uwagach czy zastrzeżeniach.   </w:t>
      </w:r>
    </w:p>
    <w:p w14:paraId="708B2F74" w14:textId="77777777" w:rsidR="007A1FC0" w:rsidRPr="00787E5B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87E5B">
        <w:rPr>
          <w:rFonts w:ascii="Calibri" w:hAnsi="Calibri" w:cs="Calibri"/>
          <w:color w:val="000000"/>
          <w:sz w:val="22"/>
          <w:szCs w:val="22"/>
        </w:rPr>
        <w:t xml:space="preserve">Rzeczoznawca majątkowy zobowiązany jest do potwierdzania aktualności wykonanego operatu szacunkowego </w:t>
      </w:r>
      <w:r w:rsidRPr="005C6439">
        <w:rPr>
          <w:rFonts w:ascii="Calibri" w:hAnsi="Calibri" w:cs="Calibri"/>
          <w:color w:val="000000"/>
          <w:sz w:val="22"/>
          <w:szCs w:val="22"/>
        </w:rPr>
        <w:t xml:space="preserve">po upływie 12 miesięcy od daty jego sporządzenia, stosownie do art. 156 ust. 4 ustawy o gospodarce nieruchomościami </w:t>
      </w:r>
      <w:r>
        <w:rPr>
          <w:rFonts w:ascii="Calibri" w:hAnsi="Calibri" w:cs="Calibri"/>
          <w:color w:val="000000"/>
          <w:sz w:val="22"/>
          <w:szCs w:val="22"/>
        </w:rPr>
        <w:t xml:space="preserve">- </w:t>
      </w:r>
      <w:r w:rsidRPr="00787E5B">
        <w:rPr>
          <w:rFonts w:ascii="Calibri" w:hAnsi="Calibri" w:cs="Calibri"/>
          <w:color w:val="000000"/>
          <w:sz w:val="22"/>
          <w:szCs w:val="22"/>
        </w:rPr>
        <w:t xml:space="preserve">w terminie nie dłuższym niż 14 dni kalendarzowych od daty przekazania takiego wniosku przez </w:t>
      </w:r>
      <w:r>
        <w:rPr>
          <w:rFonts w:ascii="Calibri" w:hAnsi="Calibri" w:cs="Calibri"/>
          <w:color w:val="000000"/>
          <w:sz w:val="22"/>
          <w:szCs w:val="22"/>
        </w:rPr>
        <w:t>Zamawiającego</w:t>
      </w:r>
      <w:r w:rsidRPr="00787E5B">
        <w:rPr>
          <w:rFonts w:ascii="Calibri" w:hAnsi="Calibri" w:cs="Calibri"/>
          <w:color w:val="000000"/>
          <w:sz w:val="22"/>
          <w:szCs w:val="22"/>
        </w:rPr>
        <w:t xml:space="preserve">.    </w:t>
      </w:r>
    </w:p>
    <w:p w14:paraId="26A87618" w14:textId="77777777" w:rsidR="007A1FC0" w:rsidRPr="00E742D1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W przypadku uchylenia decyzji z powodu wadliwie sporządzonego operatu szacunkowego rzeczoznawca majątkowy sporządzi bez dodatkowego wynagrodzenia prawidłowy operat szacunkowy w oparciu o wytyczne organu II instancji lub sądu administracyjnego w terminie                   21 dni od dnia powiadomienia biegłego przez Zamawiającego o ujawnionych wadach                                i nieprawidłowościach. </w:t>
      </w:r>
    </w:p>
    <w:p w14:paraId="27C7416D" w14:textId="77777777" w:rsidR="007A1FC0" w:rsidRPr="00E742D1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>W przypadku obciążenia przedmiotu wyceny więcej niż jednym prawem rzeczowym, rzeczoznawca majątkowy powinien określić wartość każdego z tych praw oddzielnie.</w:t>
      </w:r>
    </w:p>
    <w:p w14:paraId="2225A9BF" w14:textId="77777777" w:rsidR="007A1FC0" w:rsidRPr="00E742D1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Jeżeli przedmiotem wyceny jest działka obciążona jedną służebnością gruntową ustanowioną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na rzecz właścicieli innych nieruchomości, rzeczoznawca majątkowy zobowiązany jest określić wartość tego prawa oddzielnie dla poszczególnych właścicieli nieruchomości władnących. </w:t>
      </w:r>
    </w:p>
    <w:p w14:paraId="19EDD23D" w14:textId="77777777" w:rsidR="007A1FC0" w:rsidRPr="00E742D1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umieszczania w operacie szacunkowym pełnego opisu nieruchomości porównawczych przyjętych do wyceny w kontekście obranych cech rynkowych stosownie do aktualnego orzecznictwa sądów administracyjnych (por. wyrok WSA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w Krakowie z dnia 29.04.2021 r., sygn. akt II SA/Kr 157/21). </w:t>
      </w:r>
    </w:p>
    <w:p w14:paraId="53A73D6F" w14:textId="77777777" w:rsidR="007A1FC0" w:rsidRPr="00E742D1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umieszczania w operacie szacunkowym dokumentacji fotograficznej sporządzonej w trakcie oględzin nieruchomości. </w:t>
      </w:r>
    </w:p>
    <w:p w14:paraId="51ECABE8" w14:textId="77777777" w:rsidR="007A1FC0" w:rsidRPr="00E742D1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uzasadnić przyjęty sposób wyceny </w:t>
      </w:r>
      <w:r w:rsidRPr="00E742D1">
        <w:rPr>
          <w:rFonts w:ascii="Calibri" w:hAnsi="Calibri" w:cs="Calibri"/>
          <w:sz w:val="22"/>
          <w:szCs w:val="22"/>
        </w:rPr>
        <w:br/>
        <w:t>oraz wskazać i wyjaśnić przesłanki, które doprowadziły do przedstawionych konkluzji w sposób logiczny, spójny i wiarygodny.</w:t>
      </w:r>
    </w:p>
    <w:p w14:paraId="7F8BC249" w14:textId="77777777" w:rsidR="007A1FC0" w:rsidRPr="00E742D1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zamieszczenia w operacie szacunkowym wyjaśnień, czy przeznaczenie nieruchomości wycenianej, zgodne z celem wywłaszczenia (przejęcia) powoduje wzrost jej wartości (zasada korzyści wynikająca z art. 134 ustawy </w:t>
      </w:r>
      <w:r w:rsidRPr="00E742D1">
        <w:rPr>
          <w:rFonts w:ascii="Calibri" w:hAnsi="Calibri" w:cs="Calibri"/>
          <w:sz w:val="22"/>
          <w:szCs w:val="22"/>
        </w:rPr>
        <w:br/>
        <w:t>o gospodarce nieruchomościami). W przypadku stwierdzenia, że zachodzi zasada korzyści rzeczoznawca majątkowy przeprowadza wycenę zgodnie z ukształtowanym i jednolitym orzecznictwem sądów administracyjnych</w:t>
      </w:r>
      <w:r>
        <w:rPr>
          <w:rFonts w:ascii="Calibri" w:hAnsi="Calibri" w:cs="Calibri"/>
          <w:sz w:val="22"/>
          <w:szCs w:val="22"/>
        </w:rPr>
        <w:t>.</w:t>
      </w:r>
    </w:p>
    <w:p w14:paraId="77478774" w14:textId="2FA97703" w:rsidR="006164F8" w:rsidRPr="00E742D1" w:rsidRDefault="007A1FC0" w:rsidP="007A1FC0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>Rzeczoznawca majątkowy jest uprawniony do zapoznania się z dokumentami prowadzonych postępowań w zakresie, jaki jest niezbędny do przygotowania opinii w formie operatów szacunkowych.</w:t>
      </w:r>
    </w:p>
    <w:p w14:paraId="5834BD80" w14:textId="77777777" w:rsidR="001D4CD1" w:rsidRPr="00D5220A" w:rsidRDefault="001D4CD1" w:rsidP="001D4CD1">
      <w:pPr>
        <w:pStyle w:val="Akapitzlist"/>
        <w:spacing w:line="276" w:lineRule="auto"/>
        <w:ind w:left="284" w:firstLine="0"/>
        <w:contextualSpacing/>
        <w:rPr>
          <w:rFonts w:ascii="Calibri" w:hAnsi="Calibri" w:cs="Calibri"/>
          <w:sz w:val="22"/>
          <w:szCs w:val="22"/>
        </w:rPr>
      </w:pPr>
    </w:p>
    <w:p w14:paraId="4AEC609F" w14:textId="3BB6EB3E" w:rsidR="009F24CD" w:rsidRPr="0000492C" w:rsidRDefault="009F24CD" w:rsidP="001D4CD1">
      <w:pPr>
        <w:widowControl/>
        <w:autoSpaceDN/>
        <w:spacing w:line="276" w:lineRule="auto"/>
        <w:textAlignment w:val="auto"/>
        <w:rPr>
          <w:rFonts w:ascii="Calibri" w:hAnsi="Calibri" w:cs="Arial"/>
          <w:b/>
          <w:bCs/>
          <w:sz w:val="22"/>
          <w:szCs w:val="22"/>
          <w:u w:val="single"/>
        </w:rPr>
      </w:pPr>
      <w:r w:rsidRPr="0000492C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>Termin realizacji:</w:t>
      </w:r>
      <w:r w:rsidR="006164F8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 do dnia</w:t>
      </w:r>
      <w:r w:rsidRPr="0000492C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 </w:t>
      </w:r>
      <w:r w:rsidR="007A1FC0">
        <w:rPr>
          <w:rFonts w:ascii="Calibri" w:hAnsi="Calibri" w:cs="Arial"/>
          <w:b/>
          <w:bCs/>
          <w:sz w:val="22"/>
          <w:szCs w:val="22"/>
          <w:u w:val="single"/>
        </w:rPr>
        <w:t>02</w:t>
      </w:r>
      <w:r w:rsidR="006164F8" w:rsidRPr="006164F8">
        <w:rPr>
          <w:rFonts w:ascii="Calibri" w:hAnsi="Calibri" w:cs="Arial"/>
          <w:b/>
          <w:bCs/>
          <w:sz w:val="22"/>
          <w:szCs w:val="22"/>
          <w:u w:val="single"/>
        </w:rPr>
        <w:t xml:space="preserve"> września 2026 r.</w:t>
      </w:r>
    </w:p>
    <w:p w14:paraId="48BD2148" w14:textId="77777777" w:rsidR="003805B3" w:rsidRDefault="003805B3" w:rsidP="001D4CD1">
      <w:pPr>
        <w:widowControl/>
        <w:autoSpaceDN/>
        <w:spacing w:line="276" w:lineRule="auto"/>
        <w:textAlignment w:val="auto"/>
        <w:rPr>
          <w:rFonts w:ascii="Calibri" w:hAnsi="Calibri" w:cs="Calibri"/>
          <w:b/>
          <w:bCs/>
          <w:sz w:val="28"/>
          <w:szCs w:val="28"/>
        </w:rPr>
      </w:pPr>
    </w:p>
    <w:p w14:paraId="238BE5E2" w14:textId="605C2B0C" w:rsidR="00123A1B" w:rsidRDefault="00912A2B">
      <w:pPr>
        <w:pStyle w:val="Standard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646F27EE" w14:textId="77777777" w:rsidR="003B0326" w:rsidRDefault="003B0326" w:rsidP="00D22133">
      <w:pPr>
        <w:widowControl/>
        <w:pBdr>
          <w:top w:val="single" w:sz="4" w:space="1" w:color="000000"/>
          <w:left w:val="single" w:sz="4" w:space="4" w:color="000000"/>
          <w:bottom w:val="single" w:sz="4" w:space="17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D22133">
      <w:pPr>
        <w:widowControl/>
        <w:pBdr>
          <w:top w:val="single" w:sz="4" w:space="1" w:color="000000"/>
          <w:left w:val="single" w:sz="4" w:space="4" w:color="000000"/>
          <w:bottom w:val="single" w:sz="4" w:space="17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2F8249E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4A5525E9" w14:textId="77777777" w:rsidR="007F528A" w:rsidRDefault="007F528A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</w:p>
    <w:p w14:paraId="69A52639" w14:textId="77777777" w:rsidR="007F528A" w:rsidRDefault="007F528A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</w:p>
    <w:p w14:paraId="596C4B8A" w14:textId="77777777" w:rsidR="007F528A" w:rsidRDefault="007F528A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</w:p>
    <w:p w14:paraId="66628880" w14:textId="7FB838E9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Oświadczamy, że :</w:t>
      </w:r>
    </w:p>
    <w:p w14:paraId="6D1B88D7" w14:textId="2A1A3648" w:rsidR="00123A1B" w:rsidRDefault="00912A2B" w:rsidP="00EC7114">
      <w:pPr>
        <w:pStyle w:val="Zwykytekst1"/>
        <w:numPr>
          <w:ilvl w:val="0"/>
          <w:numId w:val="11"/>
        </w:numPr>
        <w:tabs>
          <w:tab w:val="left" w:pos="710"/>
        </w:tabs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EC7114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38A9414E" w14:textId="77777777" w:rsidR="00EC7114" w:rsidRDefault="00EC7114" w:rsidP="00EC7114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1AFB7E40" w14:textId="77777777" w:rsidR="00EC7114" w:rsidRDefault="00EC7114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1F7A1894" w14:textId="77777777" w:rsidR="00EC7114" w:rsidRDefault="00EC7114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6B48DCD1" w14:textId="77777777" w:rsidR="00EC7114" w:rsidRPr="005F4148" w:rsidRDefault="00EC7114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0E1CFAA0" w14:textId="77777777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C67582">
      <w:headerReference w:type="default" r:id="rId8"/>
      <w:footerReference w:type="default" r:id="rId9"/>
      <w:pgSz w:w="11906" w:h="16838"/>
      <w:pgMar w:top="709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57C5" w14:textId="77777777" w:rsidR="00ED21A9" w:rsidRDefault="00ED21A9">
      <w:r>
        <w:separator/>
      </w:r>
    </w:p>
  </w:endnote>
  <w:endnote w:type="continuationSeparator" w:id="0">
    <w:p w14:paraId="0A517EE3" w14:textId="77777777" w:rsidR="00ED21A9" w:rsidRDefault="00ED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ADBA0" w14:textId="77777777" w:rsidR="00ED21A9" w:rsidRDefault="00ED21A9">
      <w:r>
        <w:rPr>
          <w:color w:val="000000"/>
        </w:rPr>
        <w:separator/>
      </w:r>
    </w:p>
  </w:footnote>
  <w:footnote w:type="continuationSeparator" w:id="0">
    <w:p w14:paraId="0EA1736E" w14:textId="77777777" w:rsidR="00ED21A9" w:rsidRDefault="00ED2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2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C5E01AC"/>
    <w:multiLevelType w:val="hybridMultilevel"/>
    <w:tmpl w:val="592440C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102F9"/>
    <w:multiLevelType w:val="hybridMultilevel"/>
    <w:tmpl w:val="52168E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6"/>
  </w:num>
  <w:num w:numId="2" w16cid:durableId="743378486">
    <w:abstractNumId w:val="3"/>
  </w:num>
  <w:num w:numId="3" w16cid:durableId="1701324015">
    <w:abstractNumId w:val="7"/>
  </w:num>
  <w:num w:numId="4" w16cid:durableId="334381702">
    <w:abstractNumId w:val="9"/>
  </w:num>
  <w:num w:numId="5" w16cid:durableId="875657205">
    <w:abstractNumId w:val="17"/>
  </w:num>
  <w:num w:numId="6" w16cid:durableId="1788114853">
    <w:abstractNumId w:val="4"/>
  </w:num>
  <w:num w:numId="7" w16cid:durableId="297533772">
    <w:abstractNumId w:val="12"/>
  </w:num>
  <w:num w:numId="8" w16cid:durableId="939220957">
    <w:abstractNumId w:val="2"/>
  </w:num>
  <w:num w:numId="9" w16cid:durableId="1406537015">
    <w:abstractNumId w:val="8"/>
  </w:num>
  <w:num w:numId="10" w16cid:durableId="1542863360">
    <w:abstractNumId w:val="2"/>
  </w:num>
  <w:num w:numId="11" w16cid:durableId="764033639">
    <w:abstractNumId w:val="16"/>
  </w:num>
  <w:num w:numId="12" w16cid:durableId="1244535111">
    <w:abstractNumId w:val="14"/>
  </w:num>
  <w:num w:numId="13" w16cid:durableId="1834908398">
    <w:abstractNumId w:val="11"/>
  </w:num>
  <w:num w:numId="14" w16cid:durableId="252973857">
    <w:abstractNumId w:val="5"/>
  </w:num>
  <w:num w:numId="15" w16cid:durableId="11102478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6"/>
  </w:num>
  <w:num w:numId="17" w16cid:durableId="1486433538">
    <w:abstractNumId w:val="11"/>
  </w:num>
  <w:num w:numId="18" w16cid:durableId="1508521487">
    <w:abstractNumId w:val="1"/>
  </w:num>
  <w:num w:numId="19" w16cid:durableId="920679685">
    <w:abstractNumId w:val="10"/>
  </w:num>
  <w:num w:numId="20" w16cid:durableId="1335260679">
    <w:abstractNumId w:val="6"/>
  </w:num>
  <w:num w:numId="21" w16cid:durableId="833880094">
    <w:abstractNumId w:val="11"/>
  </w:num>
  <w:num w:numId="22" w16cid:durableId="90973491">
    <w:abstractNumId w:val="13"/>
  </w:num>
  <w:num w:numId="23" w16cid:durableId="807629621">
    <w:abstractNumId w:val="0"/>
  </w:num>
  <w:num w:numId="24" w16cid:durableId="18533004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0492C"/>
    <w:rsid w:val="000B2BDA"/>
    <w:rsid w:val="000C22D5"/>
    <w:rsid w:val="000D241E"/>
    <w:rsid w:val="00123A1B"/>
    <w:rsid w:val="001338D3"/>
    <w:rsid w:val="00152075"/>
    <w:rsid w:val="00164C3A"/>
    <w:rsid w:val="001670EC"/>
    <w:rsid w:val="001727C7"/>
    <w:rsid w:val="001D4CD1"/>
    <w:rsid w:val="001D74A3"/>
    <w:rsid w:val="003805B3"/>
    <w:rsid w:val="003A57F3"/>
    <w:rsid w:val="003B0326"/>
    <w:rsid w:val="003B3DE9"/>
    <w:rsid w:val="003B487D"/>
    <w:rsid w:val="003C018F"/>
    <w:rsid w:val="00437ED6"/>
    <w:rsid w:val="004518F3"/>
    <w:rsid w:val="00463BBE"/>
    <w:rsid w:val="004E36ED"/>
    <w:rsid w:val="00503C62"/>
    <w:rsid w:val="00521DD5"/>
    <w:rsid w:val="00560E49"/>
    <w:rsid w:val="00581098"/>
    <w:rsid w:val="005B0DA0"/>
    <w:rsid w:val="005D0625"/>
    <w:rsid w:val="00610E81"/>
    <w:rsid w:val="006164F8"/>
    <w:rsid w:val="00625920"/>
    <w:rsid w:val="0063366A"/>
    <w:rsid w:val="0063590E"/>
    <w:rsid w:val="006D0D92"/>
    <w:rsid w:val="006F015B"/>
    <w:rsid w:val="0073369C"/>
    <w:rsid w:val="00775949"/>
    <w:rsid w:val="007A1FC0"/>
    <w:rsid w:val="007A7353"/>
    <w:rsid w:val="007B6476"/>
    <w:rsid w:val="007D2A08"/>
    <w:rsid w:val="007F528A"/>
    <w:rsid w:val="008118EE"/>
    <w:rsid w:val="00886218"/>
    <w:rsid w:val="00891D9F"/>
    <w:rsid w:val="009058D9"/>
    <w:rsid w:val="00912A2B"/>
    <w:rsid w:val="009617F1"/>
    <w:rsid w:val="009638AB"/>
    <w:rsid w:val="00996D7C"/>
    <w:rsid w:val="009E19EE"/>
    <w:rsid w:val="009F24CD"/>
    <w:rsid w:val="00A213B6"/>
    <w:rsid w:val="00A56719"/>
    <w:rsid w:val="00A63079"/>
    <w:rsid w:val="00A72475"/>
    <w:rsid w:val="00A82342"/>
    <w:rsid w:val="00A912D2"/>
    <w:rsid w:val="00AC6747"/>
    <w:rsid w:val="00B438A2"/>
    <w:rsid w:val="00B76369"/>
    <w:rsid w:val="00B828C4"/>
    <w:rsid w:val="00B94CFB"/>
    <w:rsid w:val="00BD10AC"/>
    <w:rsid w:val="00C02AF9"/>
    <w:rsid w:val="00C453A5"/>
    <w:rsid w:val="00C67582"/>
    <w:rsid w:val="00CE7700"/>
    <w:rsid w:val="00CF5B8B"/>
    <w:rsid w:val="00D22133"/>
    <w:rsid w:val="00DE373F"/>
    <w:rsid w:val="00EB6AFE"/>
    <w:rsid w:val="00EC7114"/>
    <w:rsid w:val="00ED21A9"/>
    <w:rsid w:val="00ED6F73"/>
    <w:rsid w:val="00FE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994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44</cp:revision>
  <cp:lastPrinted>2019-07-29T14:48:00Z</cp:lastPrinted>
  <dcterms:created xsi:type="dcterms:W3CDTF">2008-10-03T10:05:00Z</dcterms:created>
  <dcterms:modified xsi:type="dcterms:W3CDTF">2026-05-15T10:40:00Z</dcterms:modified>
</cp:coreProperties>
</file>